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eastAsia"/>
          <w:sz w:val="32"/>
          <w:szCs w:val="32"/>
          <w:lang w:val="en-US" w:eastAsia="zh-CN"/>
        </w:rPr>
      </w:pPr>
      <w:r>
        <w:rPr>
          <w:rFonts w:hint="eastAsia"/>
          <w:sz w:val="32"/>
          <w:szCs w:val="32"/>
        </w:rPr>
        <w:t>附件</w:t>
      </w:r>
      <w:r>
        <w:rPr>
          <w:rFonts w:hint="eastAsia"/>
          <w:sz w:val="32"/>
          <w:szCs w:val="32"/>
          <w:lang w:val="en-US" w:eastAsia="zh-CN"/>
        </w:rPr>
        <w:t xml:space="preserve">2             </w:t>
      </w:r>
    </w:p>
    <w:p>
      <w:pPr>
        <w:spacing w:line="580" w:lineRule="exact"/>
        <w:ind w:firstLine="2640" w:firstLineChars="600"/>
        <w:jc w:val="both"/>
        <w:rPr>
          <w:rFonts w:hint="eastAsia" w:ascii="方正小标宋简体" w:hAnsi="方正小标宋简体" w:eastAsia="方正小标宋简体" w:cs="方正小标宋简体"/>
          <w:color w:val="000000"/>
          <w:sz w:val="44"/>
          <w:szCs w:val="44"/>
        </w:rPr>
      </w:pPr>
      <w:bookmarkStart w:id="0" w:name="_GoBack"/>
      <w:r>
        <w:rPr>
          <w:rFonts w:hint="eastAsia" w:ascii="方正小标宋简体" w:hAnsi="方正小标宋简体" w:eastAsia="方正小标宋简体" w:cs="方正小标宋简体"/>
          <w:color w:val="000000"/>
          <w:sz w:val="44"/>
          <w:szCs w:val="44"/>
        </w:rPr>
        <w:t>考生考试须知</w:t>
      </w:r>
      <w:bookmarkEnd w:id="0"/>
    </w:p>
    <w:p>
      <w:pPr>
        <w:spacing w:line="580" w:lineRule="exact"/>
        <w:jc w:val="center"/>
        <w:rPr>
          <w:rFonts w:ascii="Times New Roman" w:hAnsi="Times New Roman" w:eastAsia="黑体"/>
          <w:color w:val="000000"/>
          <w:sz w:val="36"/>
          <w:szCs w:val="36"/>
        </w:rPr>
      </w:pP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一、检查试卷和答题卡</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考生应检查试卷和答题卡正反两面，如果发现字迹模糊、行列歪斜或单面缺印等现象，要及时向监考员报告，要求更换。</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二、核对、粘贴条形码</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条形码是识别考生信息的主要依据。考生应认真核对条形码，保持条形码的整洁和完整，不得在条形码上面和周围写划。若发现条形码上所打印的姓名、准考证号与本人信息不符，应立即举手报告，请监考员及时处理。</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2.考生核对条形码无误后，将其粘贴在答题卡规定的条形码框中。条形码一律横贴，即条形码准考证号从左向右排列。</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三、答题卡填涂、书写要求</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1.根据网上评卷需要，考生务必在答题卡上规定区域作答，仔细阅读答题卡上的注意事项，按规定认真执行。</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2.答题前，考生须在答题卡的规定区域用0.5mm中性黑色字迹水笔填写姓名和准考证号。</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作答时，注意答题用笔：客观题用2B铅笔填涂，主观题用0.5mm中性黑色字迹水笔（黑色水笔书写的答案被扫描后生成的图像清晰度高，容易识别）书写，作图可先使用绘图铅笔(HB)或2B涂卡铅笔，确定后必须使用黑色字迹水笔描黑。书写时要字迹工整、清晰，不要写得太细长，字距要适当，行距不宜过密，不得使用非黑色字迹水笔书写，不得使用铅笔、圆珠笔等其他类型的笔书写。</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4.在答题卡扫描图像处理过程中，计算机将根据图像定位点的定位将考生的答题内容准确无误地生成特定的图像文件。所以，严禁在答题卡的图像定位点(黑方块)周围作任何涂改和标记。</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5.答题卡的矩形边框内为答题区域，答题区域外的任何文字、图形，经计算机扫描后，将不被显示。考生应在指定的答题区域内答题，否则，答案无效。</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6.在主观题答题过程中如需对答案进行修改，可用修改符号修改，修改部分的书写与正文一样，不得超出答题区域的矩形边框，否则，修改的答案无效。修改答案允许使用橡皮擦，但应注意不要造成答题卡破损。</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7.保持答题卡面整洁，不得折叠、破损。</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凡违反上述规定，影响评卷结果或造成无法评卷，后果由考生自负。</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9C6E64"/>
    <w:rsid w:val="3E9C6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2023-11-22T09:05:00Z</dcterms:created>
  <dc:creator>GFT</dc:creator>
  <cp:lastModifiedBy>GFT</cp:lastModifiedBy>
  <dcterms:modified xsi:type="dcterms:W3CDTF">2023-11-22T09:06:00Z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