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64" w:rsidRDefault="00374364" w:rsidP="00374364">
      <w:pPr>
        <w:rPr>
          <w:rFonts w:ascii="黑体" w:eastAsia="黑体" w:hAnsi="黑体" w:hint="eastAsia"/>
          <w:sz w:val="32"/>
          <w:szCs w:val="32"/>
        </w:rPr>
      </w:pPr>
      <w:r w:rsidRPr="00CD613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374364" w:rsidRDefault="00374364" w:rsidP="00374364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374364" w:rsidRDefault="00374364" w:rsidP="00374364">
      <w:pPr>
        <w:spacing w:line="600" w:lineRule="exact"/>
        <w:jc w:val="center"/>
        <w:rPr>
          <w:rFonts w:ascii="方正小标宋简体" w:eastAsia="方正小标宋简体" w:hAnsi="宋体" w:hint="eastAsia"/>
          <w:spacing w:val="-10"/>
          <w:sz w:val="44"/>
          <w:szCs w:val="44"/>
        </w:rPr>
      </w:pPr>
      <w:r w:rsidRPr="00CD6136">
        <w:rPr>
          <w:rFonts w:ascii="方正小标宋简体" w:eastAsia="方正小标宋简体" w:hAnsi="宋体" w:hint="eastAsia"/>
          <w:spacing w:val="-10"/>
          <w:sz w:val="44"/>
          <w:szCs w:val="44"/>
        </w:rPr>
        <w:t>报考飞行技术专业学生自荐参考标准</w:t>
      </w:r>
    </w:p>
    <w:p w:rsidR="00374364" w:rsidRPr="00CD6136" w:rsidRDefault="00374364" w:rsidP="00374364">
      <w:pPr>
        <w:spacing w:line="600" w:lineRule="exact"/>
        <w:jc w:val="center"/>
        <w:rPr>
          <w:rFonts w:ascii="方正小标宋简体" w:eastAsia="方正小标宋简体" w:hAnsi="宋体" w:hint="eastAsia"/>
          <w:spacing w:val="-10"/>
          <w:sz w:val="44"/>
          <w:szCs w:val="44"/>
        </w:rPr>
      </w:pPr>
    </w:p>
    <w:p w:rsidR="00374364" w:rsidRPr="00CD6136" w:rsidRDefault="00374364" w:rsidP="00374364">
      <w:pPr>
        <w:pStyle w:val="HTML"/>
        <w:widowControl w:val="0"/>
        <w:spacing w:line="580" w:lineRule="exact"/>
        <w:ind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proofErr w:type="spellStart"/>
      <w:r w:rsidRPr="00CD6136">
        <w:rPr>
          <w:rFonts w:ascii="仿宋_GB2312" w:eastAsia="仿宋_GB2312" w:hAnsi="宋体" w:hint="eastAsia"/>
          <w:sz w:val="32"/>
          <w:szCs w:val="32"/>
        </w:rPr>
        <w:t>具有下列情况之一者，不能报考（具体标准以各招飞高校招生简章公布的为准</w:t>
      </w:r>
      <w:proofErr w:type="spellEnd"/>
      <w:r w:rsidRPr="00CD6136">
        <w:rPr>
          <w:rFonts w:ascii="仿宋_GB2312" w:eastAsia="仿宋_GB2312" w:hAnsi="宋体" w:hint="eastAsia"/>
          <w:sz w:val="32"/>
          <w:szCs w:val="32"/>
        </w:rPr>
        <w:t>）：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男生身高不足16</w:t>
      </w:r>
      <w:r>
        <w:rPr>
          <w:rFonts w:ascii="仿宋_GB2312" w:eastAsia="仿宋_GB2312" w:hAnsi="宋体" w:cs="Courier New"/>
          <w:color w:val="000000"/>
          <w:kern w:val="0"/>
          <w:sz w:val="32"/>
          <w:szCs w:val="32"/>
        </w:rPr>
        <w:t>5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cm或者超过187cm。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体重过重或过轻，体重计算方法：（身高－110）±10%。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颜面五官明显不对称。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骨与关节疾病或明显的“O”型或“X”型腿、胸廓畸形等。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胆道和泌尿系统结石。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传染性、难以治愈皮肤病，如头癣、湿疹、牛皮癣、慢性荨麻疹。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艾滋病病毒（HIV）抗体检测阳性。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梅毒、淋病、尖锐湿疣等性传播疾病。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胸腔脏器手术史。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慢性消化系统疾病。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病毒性肝炎、乙肝表面抗原阳性或肝脾明显肿大。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泌尿生殖系统疾病或畸形，如肾炎或血尿，蛋白尿。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13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结核病，如肺结核等。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精神分裂等精神病家族史、癫痫病史。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使用成瘾癖的麻醉药品和精神药品。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lastRenderedPageBreak/>
        <w:t>16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眩晕病史、晕车、晕船。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口吃、中耳炎病史，听力差，经常耳鸣。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裸眼视力低于C字表0.1（相当于E字表4.0），矫正视力低于1.0，屈光度数超过450度；行角膜屈光手术时</w:t>
      </w:r>
      <w:proofErr w:type="gramStart"/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未年</w:t>
      </w:r>
      <w:proofErr w:type="gramEnd"/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满18周岁或手术时间未满6个月。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色盲、色弱、斜弱视等。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恶性肿瘤，可能影响功能的良性肿瘤。</w:t>
      </w:r>
    </w:p>
    <w:p w:rsidR="00374364" w:rsidRPr="0093762A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21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直系亲属有违法犯罪记录或参加邪教组织者。</w:t>
      </w:r>
    </w:p>
    <w:p w:rsidR="00374364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22</w:t>
      </w:r>
      <w:r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.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身体</w:t>
      </w:r>
      <w:r w:rsidRPr="0093762A">
        <w:rPr>
          <w:rFonts w:ascii="仿宋_GB2312" w:eastAsia="仿宋_GB2312" w:hAnsi="宋体" w:cs="Courier New"/>
          <w:color w:val="000000"/>
          <w:kern w:val="0"/>
          <w:sz w:val="32"/>
          <w:szCs w:val="32"/>
        </w:rPr>
        <w:t>任何部位有纹身</w:t>
      </w:r>
      <w:r w:rsidRPr="0093762A">
        <w:rPr>
          <w:rFonts w:ascii="仿宋_GB2312" w:eastAsia="仿宋_GB2312" w:hAnsi="宋体" w:cs="Courier New" w:hint="eastAsia"/>
          <w:color w:val="000000"/>
          <w:kern w:val="0"/>
          <w:sz w:val="32"/>
          <w:szCs w:val="32"/>
        </w:rPr>
        <w:t>者</w:t>
      </w:r>
      <w:r w:rsidRPr="0093762A">
        <w:rPr>
          <w:rFonts w:ascii="仿宋_GB2312" w:eastAsia="仿宋_GB2312" w:hAnsi="宋体" w:cs="Courier New"/>
          <w:color w:val="000000"/>
          <w:kern w:val="0"/>
          <w:sz w:val="32"/>
          <w:szCs w:val="32"/>
        </w:rPr>
        <w:t>。</w:t>
      </w:r>
    </w:p>
    <w:p w:rsidR="00374364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</w:p>
    <w:p w:rsidR="00374364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</w:p>
    <w:p w:rsidR="00374364" w:rsidRDefault="00374364" w:rsidP="00374364">
      <w:pPr>
        <w:spacing w:line="580" w:lineRule="exact"/>
        <w:ind w:firstLineChars="200" w:firstLine="640"/>
        <w:rPr>
          <w:rFonts w:ascii="仿宋_GB2312" w:eastAsia="仿宋_GB2312" w:hAnsi="宋体" w:cs="Courier New"/>
          <w:color w:val="000000"/>
          <w:kern w:val="0"/>
          <w:sz w:val="32"/>
          <w:szCs w:val="32"/>
        </w:rPr>
      </w:pPr>
    </w:p>
    <w:p w:rsidR="00374364" w:rsidRPr="0075750A" w:rsidRDefault="00374364" w:rsidP="00374364">
      <w:pPr>
        <w:rPr>
          <w:rFonts w:ascii="黑体" w:eastAsia="黑体" w:hAnsi="黑体" w:hint="eastAsia"/>
          <w:sz w:val="32"/>
          <w:szCs w:val="32"/>
        </w:rPr>
      </w:pPr>
    </w:p>
    <w:p w:rsidR="00C30B6D" w:rsidRPr="00374364" w:rsidRDefault="00C30B6D">
      <w:bookmarkStart w:id="0" w:name="_GoBack"/>
      <w:bookmarkEnd w:id="0"/>
    </w:p>
    <w:sectPr w:rsidR="00C30B6D" w:rsidRPr="00374364" w:rsidSect="000F57BA">
      <w:pgSz w:w="11906" w:h="16838" w:code="9"/>
      <w:pgMar w:top="2098" w:right="1588" w:bottom="1871" w:left="1588" w:header="851" w:footer="119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64"/>
    <w:rsid w:val="00374364"/>
    <w:rsid w:val="00C30B6D"/>
    <w:rsid w:val="00E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3307"/>
  <w15:chartTrackingRefBased/>
  <w15:docId w15:val="{59070A6D-70BC-4315-A1E4-DD5510D5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4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743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color w:val="000000"/>
      <w:kern w:val="0"/>
      <w:sz w:val="20"/>
      <w:szCs w:val="20"/>
      <w:lang w:val="x-none" w:eastAsia="x-none"/>
    </w:rPr>
  </w:style>
  <w:style w:type="character" w:customStyle="1" w:styleId="HTML0">
    <w:name w:val="HTML 预设格式 字符"/>
    <w:basedOn w:val="a0"/>
    <w:link w:val="HTML"/>
    <w:rsid w:val="00374364"/>
    <w:rPr>
      <w:rFonts w:ascii="黑体" w:eastAsia="黑体" w:hAnsi="Courier New" w:cs="Times New Roman"/>
      <w:color w:val="000000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34956760@qq.com</dc:creator>
  <cp:keywords/>
  <dc:description/>
  <cp:lastModifiedBy>34956760@qq.com</cp:lastModifiedBy>
  <cp:revision>2</cp:revision>
  <dcterms:created xsi:type="dcterms:W3CDTF">2019-10-25T09:01:00Z</dcterms:created>
  <dcterms:modified xsi:type="dcterms:W3CDTF">2019-10-25T09:02:00Z</dcterms:modified>
</cp:coreProperties>
</file>